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A4C8" w14:textId="77777777" w:rsidR="006004E5" w:rsidRDefault="006004E5" w:rsidP="009D3E38">
      <w:pPr>
        <w:jc w:val="center"/>
        <w:rPr>
          <w:b/>
          <w:u w:val="single"/>
        </w:rPr>
      </w:pPr>
      <w:r>
        <w:rPr>
          <w:b/>
          <w:u w:val="single"/>
        </w:rPr>
        <w:t>Cellular Pathology Non Accredited Tests</w:t>
      </w:r>
    </w:p>
    <w:p w14:paraId="7F564BBE" w14:textId="77777777" w:rsidR="006004E5" w:rsidRDefault="006004E5" w:rsidP="004900D5">
      <w:pPr>
        <w:rPr>
          <w:b/>
          <w:u w:val="single"/>
        </w:rPr>
      </w:pPr>
    </w:p>
    <w:p w14:paraId="2CA4B5FB" w14:textId="77777777" w:rsidR="00824959" w:rsidRDefault="00741FFA" w:rsidP="006004E5">
      <w:r>
        <w:t xml:space="preserve">For tests on this list:  </w:t>
      </w:r>
      <w:r w:rsidR="00824959">
        <w:t>Please mark</w:t>
      </w:r>
      <w:r>
        <w:t xml:space="preserve"> the test</w:t>
      </w:r>
      <w:r w:rsidR="00824959">
        <w:t xml:space="preserve"> with a</w:t>
      </w:r>
      <w:r>
        <w:t xml:space="preserve">n asterix </w:t>
      </w:r>
      <w:r w:rsidR="00824959">
        <w:t xml:space="preserve">* in the text of your report and add the following quicktext "non-ac" to the end of the micro section.  </w:t>
      </w:r>
    </w:p>
    <w:p w14:paraId="45E61EB2" w14:textId="77777777" w:rsidR="00824959" w:rsidRDefault="00824959" w:rsidP="006004E5"/>
    <w:p w14:paraId="28347B91" w14:textId="77777777" w:rsidR="00824959" w:rsidRPr="00824959" w:rsidRDefault="00741FFA" w:rsidP="00824959">
      <w:pPr>
        <w:rPr>
          <w:color w:val="1F497D"/>
          <w:sz w:val="20"/>
        </w:rPr>
      </w:pPr>
      <w:r>
        <w:rPr>
          <w:color w:val="1F497D"/>
          <w:sz w:val="20"/>
        </w:rPr>
        <w:t>* These results are based on</w:t>
      </w:r>
      <w:r w:rsidR="00824959">
        <w:rPr>
          <w:color w:val="1F497D"/>
          <w:sz w:val="20"/>
        </w:rPr>
        <w:t xml:space="preserve"> </w:t>
      </w:r>
      <w:r w:rsidR="00824959" w:rsidRPr="00824959">
        <w:rPr>
          <w:color w:val="1F497D"/>
          <w:sz w:val="20"/>
        </w:rPr>
        <w:t>tests which are currently not accredited. However, all tests are appropriately verified and are matched with appropriate controls (where applicable).  If you have any questions about this, please contact</w:t>
      </w:r>
      <w:r w:rsidR="00824959" w:rsidRPr="00824959">
        <w:rPr>
          <w:sz w:val="20"/>
        </w:rPr>
        <w:t xml:space="preserve"> </w:t>
      </w:r>
      <w:r w:rsidR="00824959" w:rsidRPr="00824959">
        <w:rPr>
          <w:color w:val="1F497D"/>
          <w:sz w:val="20"/>
        </w:rPr>
        <w:t xml:space="preserve">the clinical service lead for cellular pathology via </w:t>
      </w:r>
      <w:hyperlink r:id="rId8" w:history="1">
        <w:r w:rsidR="00824959" w:rsidRPr="00824959">
          <w:rPr>
            <w:rStyle w:val="Hyperlink"/>
            <w:b/>
            <w:bCs/>
            <w:sz w:val="20"/>
          </w:rPr>
          <w:t>leedsth-tr.HistopathSpecimenReception@nhs.net</w:t>
        </w:r>
        <w:r w:rsidR="00824959" w:rsidRPr="00824959">
          <w:rPr>
            <w:rStyle w:val="Hyperlink"/>
            <w:sz w:val="20"/>
          </w:rPr>
          <w:t>*</w:t>
        </w:r>
      </w:hyperlink>
    </w:p>
    <w:p w14:paraId="0075288B" w14:textId="77777777" w:rsidR="004900D5" w:rsidRDefault="004900D5" w:rsidP="006004E5">
      <w:pPr>
        <w:rPr>
          <w:b/>
          <w:u w:val="single"/>
        </w:rPr>
      </w:pPr>
    </w:p>
    <w:p w14:paraId="29A11F2F" w14:textId="77777777" w:rsidR="006004E5" w:rsidRDefault="006004E5" w:rsidP="006004E5">
      <w:pPr>
        <w:rPr>
          <w:b/>
          <w:u w:val="single"/>
        </w:rPr>
      </w:pPr>
      <w:r w:rsidRPr="006004E5">
        <w:rPr>
          <w:b/>
          <w:u w:val="single"/>
        </w:rPr>
        <w:t>Histology Lab</w:t>
      </w:r>
      <w:r w:rsidR="001D623A">
        <w:rPr>
          <w:b/>
          <w:u w:val="single"/>
        </w:rPr>
        <w:t xml:space="preserve"> (tests not in scope)</w:t>
      </w:r>
    </w:p>
    <w:p w14:paraId="5CB39CEE" w14:textId="77777777" w:rsidR="00F06B70" w:rsidRDefault="00F06B70" w:rsidP="006004E5">
      <w:pPr>
        <w:rPr>
          <w:b/>
          <w:u w:val="single"/>
        </w:rPr>
      </w:pPr>
    </w:p>
    <w:p w14:paraId="719832C5" w14:textId="76E0A760" w:rsidR="00F06B70" w:rsidRPr="00F06B70" w:rsidRDefault="00F06B70" w:rsidP="006004E5">
      <w:r>
        <w:t>Ground sections</w:t>
      </w:r>
    </w:p>
    <w:p w14:paraId="25361AE1" w14:textId="411E0DDD" w:rsidR="006004E5" w:rsidRDefault="00A23FCD" w:rsidP="006004E5">
      <w:r>
        <w:t xml:space="preserve">EGFR </w:t>
      </w:r>
      <w:r w:rsidR="00F06B70">
        <w:t xml:space="preserve">and MSI </w:t>
      </w:r>
      <w:r>
        <w:t>mutation using Idylla</w:t>
      </w:r>
    </w:p>
    <w:p w14:paraId="27B1EFB0" w14:textId="77777777" w:rsidR="006004E5" w:rsidRDefault="00A23FCD" w:rsidP="006004E5">
      <w:r>
        <w:t>PD-L</w:t>
      </w:r>
      <w:r w:rsidR="006004E5">
        <w:t xml:space="preserve">1 </w:t>
      </w:r>
      <w:r>
        <w:t>28-8</w:t>
      </w:r>
    </w:p>
    <w:p w14:paraId="7044E8C5" w14:textId="77777777" w:rsidR="006004E5" w:rsidRDefault="00A23FCD" w:rsidP="006004E5">
      <w:r>
        <w:t>GATA3</w:t>
      </w:r>
    </w:p>
    <w:p w14:paraId="1EA2CE1C" w14:textId="77777777" w:rsidR="00A23FCD" w:rsidRDefault="00A23FCD" w:rsidP="006004E5">
      <w:r>
        <w:t>NapsinA</w:t>
      </w:r>
    </w:p>
    <w:p w14:paraId="66C9BFB1" w14:textId="77777777" w:rsidR="00A23FCD" w:rsidRDefault="00A23FCD" w:rsidP="006004E5">
      <w:r>
        <w:t>ALK1 D5F3</w:t>
      </w:r>
    </w:p>
    <w:p w14:paraId="64CBD9FE" w14:textId="77777777" w:rsidR="001D623A" w:rsidRDefault="00A23FCD" w:rsidP="006004E5">
      <w:r>
        <w:t>PLA2R</w:t>
      </w:r>
    </w:p>
    <w:p w14:paraId="7B76C64D" w14:textId="562E1665" w:rsidR="001D623A" w:rsidRDefault="001D623A" w:rsidP="006004E5">
      <w:r>
        <w:t>Automated Renal IP panel- IgA, IgG, IgM, C3d, C1q</w:t>
      </w:r>
    </w:p>
    <w:p w14:paraId="16A280CB" w14:textId="77777777" w:rsidR="001D623A" w:rsidRDefault="001D623A" w:rsidP="006004E5">
      <w:r>
        <w:t>ATRX</w:t>
      </w:r>
    </w:p>
    <w:p w14:paraId="7333B94B" w14:textId="77777777" w:rsidR="001D623A" w:rsidRDefault="001D623A" w:rsidP="006004E5">
      <w:r>
        <w:t>Retinoblastoma</w:t>
      </w:r>
    </w:p>
    <w:p w14:paraId="22587260" w14:textId="77777777" w:rsidR="001D623A" w:rsidRDefault="001D623A" w:rsidP="006004E5">
      <w:r>
        <w:t>BRAF</w:t>
      </w:r>
    </w:p>
    <w:p w14:paraId="362897BB" w14:textId="77777777" w:rsidR="001D623A" w:rsidRDefault="001D623A" w:rsidP="006004E5">
      <w:r>
        <w:t>PanTRK</w:t>
      </w:r>
    </w:p>
    <w:p w14:paraId="3906A3B6" w14:textId="387E3492" w:rsidR="00F06B70" w:rsidRDefault="00F06B70" w:rsidP="006004E5">
      <w:r>
        <w:t>Gastric HER-2</w:t>
      </w:r>
    </w:p>
    <w:p w14:paraId="2381F8CD" w14:textId="4A27C580" w:rsidR="00F06B70" w:rsidRDefault="00F06B70" w:rsidP="006004E5">
      <w:r>
        <w:t>CD2</w:t>
      </w:r>
    </w:p>
    <w:p w14:paraId="4C328BBE" w14:textId="46893C6F" w:rsidR="00F06B70" w:rsidRDefault="00F06B70" w:rsidP="006004E5">
      <w:r>
        <w:t>CD5</w:t>
      </w:r>
    </w:p>
    <w:p w14:paraId="72D0924B" w14:textId="4CBBBF3D" w:rsidR="00F06B70" w:rsidRDefault="00F06B70" w:rsidP="006004E5">
      <w:r>
        <w:t>CD7</w:t>
      </w:r>
    </w:p>
    <w:p w14:paraId="19E04B76" w14:textId="13AB3D58" w:rsidR="00F06B70" w:rsidRDefault="00F06B70" w:rsidP="006004E5">
      <w:r>
        <w:t>Cyclin D1</w:t>
      </w:r>
    </w:p>
    <w:p w14:paraId="59A46B0A" w14:textId="2F1D1BC6" w:rsidR="00F06B70" w:rsidRDefault="00F06B70" w:rsidP="006004E5">
      <w:r>
        <w:t>NB84</w:t>
      </w:r>
    </w:p>
    <w:p w14:paraId="2B5D2339" w14:textId="654CC777" w:rsidR="00F06B70" w:rsidRDefault="00F06B70" w:rsidP="006004E5">
      <w:r>
        <w:t>NTRK</w:t>
      </w:r>
    </w:p>
    <w:p w14:paraId="0ABF3B26" w14:textId="388FA61A" w:rsidR="00F06B70" w:rsidRDefault="00F06B70" w:rsidP="006004E5">
      <w:r>
        <w:t>P40</w:t>
      </w:r>
    </w:p>
    <w:p w14:paraId="4D8D15F1" w14:textId="3D06B962" w:rsidR="00F06B70" w:rsidRDefault="00F06B70" w:rsidP="006004E5">
      <w:r>
        <w:t>PRAME</w:t>
      </w:r>
    </w:p>
    <w:p w14:paraId="79E40E55" w14:textId="6F59E8DD" w:rsidR="00F06B70" w:rsidRDefault="00F06B70" w:rsidP="006004E5">
      <w:r>
        <w:t>ROS-1</w:t>
      </w:r>
    </w:p>
    <w:p w14:paraId="4602AAA9" w14:textId="67474D76" w:rsidR="00F06B70" w:rsidRDefault="00F06B70" w:rsidP="006004E5">
      <w:r>
        <w:t>SOX-10</w:t>
      </w:r>
    </w:p>
    <w:p w14:paraId="10DC34E6" w14:textId="77777777" w:rsidR="00F06B70" w:rsidRDefault="00F06B70" w:rsidP="006004E5"/>
    <w:p w14:paraId="4EC36172" w14:textId="77777777" w:rsidR="00F06B70" w:rsidRPr="006004E5" w:rsidRDefault="00F06B70" w:rsidP="006004E5"/>
    <w:p w14:paraId="2D5AD36D" w14:textId="77777777" w:rsidR="006004E5" w:rsidRPr="006004E5" w:rsidRDefault="006004E5" w:rsidP="006004E5">
      <w:pPr>
        <w:rPr>
          <w:b/>
          <w:u w:val="single"/>
        </w:rPr>
      </w:pPr>
      <w:r w:rsidRPr="006004E5">
        <w:rPr>
          <w:b/>
          <w:u w:val="single"/>
        </w:rPr>
        <w:t>Non-Gynae Cytology</w:t>
      </w:r>
    </w:p>
    <w:p w14:paraId="106DCCA0" w14:textId="77777777" w:rsidR="006004E5" w:rsidRDefault="006004E5" w:rsidP="006004E5">
      <w:r w:rsidRPr="0070560C">
        <w:t>Differential Count for BAL (Interstitial Lung Disease)</w:t>
      </w:r>
    </w:p>
    <w:p w14:paraId="6AE628E1" w14:textId="77777777" w:rsidR="00F06B70" w:rsidRDefault="00F06B70" w:rsidP="006004E5"/>
    <w:p w14:paraId="5F4FC94D" w14:textId="77777777" w:rsidR="0025725F" w:rsidRDefault="0025725F" w:rsidP="006004E5"/>
    <w:p w14:paraId="12EA6B23" w14:textId="77777777" w:rsidR="0025725F" w:rsidRDefault="0025725F" w:rsidP="006004E5">
      <w:pPr>
        <w:rPr>
          <w:b/>
          <w:u w:val="single"/>
        </w:rPr>
      </w:pPr>
      <w:r w:rsidRPr="0025725F">
        <w:rPr>
          <w:b/>
          <w:u w:val="single"/>
        </w:rPr>
        <w:t>Andrology</w:t>
      </w:r>
    </w:p>
    <w:p w14:paraId="461CE13A" w14:textId="77777777" w:rsidR="0025725F" w:rsidRDefault="0025725F" w:rsidP="006004E5">
      <w:r>
        <w:t>Viscosity</w:t>
      </w:r>
    </w:p>
    <w:p w14:paraId="5CF93ACC" w14:textId="77777777" w:rsidR="004900D5" w:rsidRDefault="0025725F" w:rsidP="004900D5">
      <w:r>
        <w:t>Appearance</w:t>
      </w:r>
    </w:p>
    <w:p w14:paraId="1ABB2AF7" w14:textId="77777777" w:rsidR="00F06B70" w:rsidRDefault="00F06B70" w:rsidP="004900D5">
      <w:bookmarkStart w:id="0" w:name="_GoBack"/>
      <w:bookmarkEnd w:id="0"/>
    </w:p>
    <w:p w14:paraId="60517DF2" w14:textId="77777777" w:rsidR="009D3E38" w:rsidRPr="009D3E38" w:rsidRDefault="009D3E38" w:rsidP="004900D5"/>
    <w:p w14:paraId="3159A4F3" w14:textId="77777777" w:rsidR="00A23FCD" w:rsidRDefault="006004E5">
      <w:pPr>
        <w:rPr>
          <w:b/>
          <w:u w:val="single"/>
        </w:rPr>
      </w:pPr>
      <w:r>
        <w:rPr>
          <w:b/>
          <w:u w:val="single"/>
        </w:rPr>
        <w:t>R</w:t>
      </w:r>
      <w:r w:rsidR="00617279" w:rsidRPr="00617279">
        <w:rPr>
          <w:b/>
          <w:u w:val="single"/>
        </w:rPr>
        <w:t>esearch</w:t>
      </w:r>
      <w:r w:rsidR="00D41DA4" w:rsidRPr="00617279">
        <w:rPr>
          <w:b/>
          <w:u w:val="single"/>
        </w:rPr>
        <w:t xml:space="preserve"> antibodies that are not </w:t>
      </w:r>
      <w:r w:rsidR="00A23FCD">
        <w:rPr>
          <w:b/>
          <w:u w:val="single"/>
        </w:rPr>
        <w:t xml:space="preserve">approved for </w:t>
      </w:r>
      <w:r w:rsidR="00D41DA4" w:rsidRPr="00617279">
        <w:rPr>
          <w:b/>
          <w:u w:val="single"/>
        </w:rPr>
        <w:t>I</w:t>
      </w:r>
      <w:r w:rsidR="00A23FCD">
        <w:rPr>
          <w:b/>
          <w:u w:val="single"/>
        </w:rPr>
        <w:t>VD</w:t>
      </w:r>
      <w:r w:rsidR="00D41DA4" w:rsidRPr="00617279">
        <w:rPr>
          <w:b/>
          <w:u w:val="single"/>
        </w:rPr>
        <w:t xml:space="preserve"> </w:t>
      </w:r>
      <w:r w:rsidR="00A23FCD">
        <w:rPr>
          <w:b/>
          <w:u w:val="single"/>
        </w:rPr>
        <w:t>use</w:t>
      </w:r>
      <w:r w:rsidR="00D41DA4" w:rsidRPr="00617279">
        <w:rPr>
          <w:b/>
          <w:u w:val="single"/>
        </w:rPr>
        <w:t>-</w:t>
      </w:r>
    </w:p>
    <w:p w14:paraId="0B75514C" w14:textId="77777777" w:rsidR="00F06B70" w:rsidRDefault="00F06B70">
      <w:pPr>
        <w:rPr>
          <w:b/>
          <w:u w:val="single"/>
        </w:rPr>
      </w:pPr>
    </w:p>
    <w:p w14:paraId="2EBC8237" w14:textId="77777777" w:rsidR="00F06B70" w:rsidRPr="00617279" w:rsidRDefault="00F06B7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70AE" w14:paraId="0C68E717" w14:textId="77777777" w:rsidTr="00AF70AE">
        <w:tc>
          <w:tcPr>
            <w:tcW w:w="4621" w:type="dxa"/>
          </w:tcPr>
          <w:p w14:paraId="5719D7AA" w14:textId="77777777" w:rsidR="00AF70AE" w:rsidRDefault="00955CE3">
            <w:r>
              <w:t>Mai</w:t>
            </w:r>
            <w:r w:rsidR="00AF70AE">
              <w:t>n Histology Lab</w:t>
            </w:r>
          </w:p>
        </w:tc>
        <w:tc>
          <w:tcPr>
            <w:tcW w:w="4621" w:type="dxa"/>
          </w:tcPr>
          <w:p w14:paraId="15738959" w14:textId="77777777" w:rsidR="00AF70AE" w:rsidRDefault="00AF70AE">
            <w:r>
              <w:t>Muscle Lab</w:t>
            </w:r>
          </w:p>
        </w:tc>
      </w:tr>
      <w:tr w:rsidR="00AF70AE" w14:paraId="1878709B" w14:textId="77777777" w:rsidTr="00AF70AE">
        <w:tc>
          <w:tcPr>
            <w:tcW w:w="4621" w:type="dxa"/>
          </w:tcPr>
          <w:p w14:paraId="2F7602F9" w14:textId="77777777" w:rsidR="00AF70AE" w:rsidRDefault="00AF70AE" w:rsidP="00AF70AE">
            <w:r>
              <w:t>APP  (Anti- Alzheimer Precursor Protein)</w:t>
            </w:r>
          </w:p>
          <w:p w14:paraId="5D5CC4F9" w14:textId="77777777" w:rsidR="00AF70AE" w:rsidRDefault="00AF70AE" w:rsidP="00AF70AE">
            <w:r>
              <w:t xml:space="preserve">A- SYN </w:t>
            </w:r>
          </w:p>
          <w:p w14:paraId="4AFD7F57" w14:textId="77777777" w:rsidR="00955CE3" w:rsidRDefault="00AF70AE" w:rsidP="00AF70AE">
            <w:r>
              <w:t>BAP- 1</w:t>
            </w:r>
          </w:p>
          <w:p w14:paraId="7A0B023F" w14:textId="77777777" w:rsidR="001D623A" w:rsidRDefault="001D623A" w:rsidP="00AF70AE">
            <w:r>
              <w:t>Caldesmon</w:t>
            </w:r>
          </w:p>
          <w:p w14:paraId="13621C55" w14:textId="77777777" w:rsidR="00AF70AE" w:rsidRDefault="00AF70AE" w:rsidP="00AF70AE">
            <w:r>
              <w:t>ERG</w:t>
            </w:r>
          </w:p>
          <w:p w14:paraId="35E59CA8" w14:textId="77777777" w:rsidR="00AF70AE" w:rsidRDefault="00AF70AE" w:rsidP="00AF70AE">
            <w:r>
              <w:lastRenderedPageBreak/>
              <w:t>Glucagon</w:t>
            </w:r>
          </w:p>
          <w:p w14:paraId="44B7A037" w14:textId="77777777" w:rsidR="00AF70AE" w:rsidRDefault="00AF70AE" w:rsidP="00AF70AE">
            <w:r>
              <w:t>Glutamine Synthetase</w:t>
            </w:r>
          </w:p>
          <w:p w14:paraId="538A26E3" w14:textId="77777777" w:rsidR="00AF70AE" w:rsidRDefault="00AF70AE" w:rsidP="00AF70AE">
            <w:r>
              <w:t>Glypican-3</w:t>
            </w:r>
          </w:p>
          <w:p w14:paraId="7602A230" w14:textId="77777777" w:rsidR="00AF70AE" w:rsidRDefault="00AF70AE" w:rsidP="00AF70AE">
            <w:r>
              <w:t>HPL (Human Placental Lactogen)</w:t>
            </w:r>
          </w:p>
          <w:p w14:paraId="5E14EF77" w14:textId="77777777" w:rsidR="00AF70AE" w:rsidRDefault="00AF70AE" w:rsidP="00AF70AE">
            <w:r>
              <w:t>IgG4</w:t>
            </w:r>
          </w:p>
          <w:p w14:paraId="643394F3" w14:textId="77777777" w:rsidR="00AF70AE" w:rsidRDefault="006004E5" w:rsidP="00AF70AE">
            <w:r>
              <w:t>I</w:t>
            </w:r>
            <w:r w:rsidR="00AF70AE">
              <w:t>NI-1</w:t>
            </w:r>
          </w:p>
          <w:p w14:paraId="29E61D9F" w14:textId="77777777" w:rsidR="00AF70AE" w:rsidRDefault="00AF70AE" w:rsidP="00AF70AE">
            <w:r>
              <w:t>MUC4</w:t>
            </w:r>
          </w:p>
          <w:p w14:paraId="7C0B3373" w14:textId="77777777" w:rsidR="00AF70AE" w:rsidRDefault="00AF70AE" w:rsidP="00AF70AE">
            <w:r>
              <w:t>NEU-N</w:t>
            </w:r>
          </w:p>
          <w:p w14:paraId="54C1C90C" w14:textId="77777777" w:rsidR="00AF70AE" w:rsidRDefault="00AF70AE" w:rsidP="00AF70AE">
            <w:r>
              <w:t>Parvo Virus</w:t>
            </w:r>
          </w:p>
          <w:p w14:paraId="294ABE62" w14:textId="77777777" w:rsidR="00AF70AE" w:rsidRDefault="00AF70AE" w:rsidP="00AF70AE">
            <w:r>
              <w:t>PAX8</w:t>
            </w:r>
          </w:p>
          <w:p w14:paraId="33767418" w14:textId="77777777" w:rsidR="00AF70AE" w:rsidRDefault="00AF70AE" w:rsidP="00AF70AE">
            <w:r>
              <w:t>PHOX2B</w:t>
            </w:r>
          </w:p>
          <w:p w14:paraId="625082ED" w14:textId="77777777" w:rsidR="00AF70AE" w:rsidRDefault="00AF70AE" w:rsidP="00AF70AE">
            <w:r>
              <w:t>Polyoma Virus (SV40)</w:t>
            </w:r>
          </w:p>
          <w:p w14:paraId="45BB9F81" w14:textId="77777777" w:rsidR="00AF70AE" w:rsidRDefault="00AF70AE" w:rsidP="00AF70AE">
            <w:r>
              <w:t>PTH (Anti- Parathyroid Hormone)</w:t>
            </w:r>
          </w:p>
          <w:p w14:paraId="49E2F6CC" w14:textId="77777777" w:rsidR="00AF70AE" w:rsidRDefault="00AF70AE" w:rsidP="00AF70AE">
            <w:r>
              <w:t>STAT6</w:t>
            </w:r>
          </w:p>
          <w:p w14:paraId="2322CF45" w14:textId="77777777" w:rsidR="00AF70AE" w:rsidRDefault="00AF70AE" w:rsidP="00AF70AE">
            <w:r>
              <w:t>Throglobulin</w:t>
            </w:r>
          </w:p>
          <w:p w14:paraId="097657C5" w14:textId="77777777" w:rsidR="00AF70AE" w:rsidRDefault="00AF70AE" w:rsidP="00AF70AE">
            <w:r>
              <w:t>WT1-C19</w:t>
            </w:r>
          </w:p>
          <w:p w14:paraId="1C11E1E8" w14:textId="77777777" w:rsidR="00AF70AE" w:rsidRDefault="00AF70AE"/>
        </w:tc>
        <w:tc>
          <w:tcPr>
            <w:tcW w:w="4621" w:type="dxa"/>
          </w:tcPr>
          <w:p w14:paraId="751443BD" w14:textId="77777777" w:rsidR="00AF70AE" w:rsidRDefault="006004E5">
            <w:r>
              <w:lastRenderedPageBreak/>
              <w:t>Alpha dy</w:t>
            </w:r>
            <w:r w:rsidR="00AF70AE">
              <w:t>stroglycan</w:t>
            </w:r>
          </w:p>
          <w:p w14:paraId="2577AE49" w14:textId="77777777" w:rsidR="00AF70AE" w:rsidRDefault="00AF70AE">
            <w:r>
              <w:t>Myosin Heavy Chain-slow</w:t>
            </w:r>
          </w:p>
          <w:p w14:paraId="7B65ED79" w14:textId="77777777" w:rsidR="00AF70AE" w:rsidRDefault="00AF70AE">
            <w:r>
              <w:t>Myosin Heavy Chain-fast</w:t>
            </w:r>
          </w:p>
          <w:p w14:paraId="10543BB0" w14:textId="77777777" w:rsidR="00AF70AE" w:rsidRDefault="00AF70AE">
            <w:r>
              <w:t>Myosin Heavy Chain-developmental</w:t>
            </w:r>
          </w:p>
          <w:p w14:paraId="0A8284D1" w14:textId="77777777" w:rsidR="00AF70AE" w:rsidRDefault="00AF70AE">
            <w:r>
              <w:t>Myosin Heavy Chain-neonatal</w:t>
            </w:r>
          </w:p>
          <w:p w14:paraId="4C2DEA0A" w14:textId="77777777" w:rsidR="00AF70AE" w:rsidRDefault="00AF70AE">
            <w:r>
              <w:lastRenderedPageBreak/>
              <w:t>P62</w:t>
            </w:r>
          </w:p>
        </w:tc>
      </w:tr>
    </w:tbl>
    <w:p w14:paraId="5F849E28" w14:textId="77777777" w:rsidR="00D41DA4" w:rsidRDefault="00D41DA4" w:rsidP="001D623A"/>
    <w:sectPr w:rsidR="00D41DA4" w:rsidSect="00A23FCD">
      <w:headerReference w:type="default" r:id="rId9"/>
      <w:footerReference w:type="default" r:id="rId10"/>
      <w:pgSz w:w="11906" w:h="16838"/>
      <w:pgMar w:top="457" w:right="1440" w:bottom="851" w:left="1440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C667" w14:textId="77777777" w:rsidR="001D623A" w:rsidRDefault="001D623A" w:rsidP="00AD632A">
      <w:r>
        <w:separator/>
      </w:r>
    </w:p>
  </w:endnote>
  <w:endnote w:type="continuationSeparator" w:id="0">
    <w:p w14:paraId="36923540" w14:textId="77777777" w:rsidR="001D623A" w:rsidRDefault="001D623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A010" w14:textId="65D0846E" w:rsidR="001D623A" w:rsidRDefault="000E4117">
    <w:pPr>
      <w:pStyle w:val="Footer"/>
      <w:rPr>
        <w:sz w:val="16"/>
        <w:szCs w:val="16"/>
      </w:rPr>
    </w:pPr>
    <w:r w:rsidRPr="000E4117">
      <w:rPr>
        <w:sz w:val="16"/>
        <w:szCs w:val="16"/>
      </w:rPr>
      <w:t>CPATH-REC-302</w:t>
    </w:r>
    <w:r>
      <w:rPr>
        <w:sz w:val="16"/>
        <w:szCs w:val="16"/>
      </w:rPr>
      <w:t xml:space="preserve"> V</w:t>
    </w:r>
    <w:r w:rsidR="00F06B70">
      <w:rPr>
        <w:sz w:val="16"/>
        <w:szCs w:val="16"/>
      </w:rPr>
      <w:t>6</w:t>
    </w:r>
    <w:r w:rsidR="001D623A">
      <w:rPr>
        <w:sz w:val="16"/>
        <w:szCs w:val="16"/>
      </w:rPr>
      <w:t xml:space="preserve">                                                   </w:t>
    </w:r>
    <w:r w:rsidR="00E200AA">
      <w:rPr>
        <w:sz w:val="16"/>
        <w:szCs w:val="16"/>
      </w:rPr>
      <w:t xml:space="preserve">      </w:t>
    </w:r>
    <w:r w:rsidR="001D623A">
      <w:rPr>
        <w:sz w:val="16"/>
        <w:szCs w:val="16"/>
      </w:rPr>
      <w:t xml:space="preserve"> Page 1 of 1              </w:t>
    </w:r>
    <w:r w:rsidR="00E200AA">
      <w:rPr>
        <w:sz w:val="16"/>
        <w:szCs w:val="16"/>
      </w:rPr>
      <w:t xml:space="preserve">         </w:t>
    </w:r>
    <w:r w:rsidR="001D623A">
      <w:rPr>
        <w:sz w:val="16"/>
        <w:szCs w:val="16"/>
      </w:rPr>
      <w:t xml:space="preserve">         </w:t>
    </w:r>
    <w:r w:rsidR="00F06B70">
      <w:rPr>
        <w:sz w:val="16"/>
        <w:szCs w:val="16"/>
      </w:rPr>
      <w:t xml:space="preserve">                October 2023</w:t>
    </w:r>
  </w:p>
  <w:p w14:paraId="554C414E" w14:textId="77777777" w:rsidR="001D623A" w:rsidRPr="00AD632A" w:rsidRDefault="009A2EF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</w:t>
    </w:r>
    <w:r w:rsidR="001D623A">
      <w:rPr>
        <w:sz w:val="16"/>
        <w:szCs w:val="16"/>
      </w:rPr>
      <w:t>J Booth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590B" w14:textId="77777777" w:rsidR="001D623A" w:rsidRDefault="001D623A" w:rsidP="00AD632A">
      <w:r>
        <w:separator/>
      </w:r>
    </w:p>
  </w:footnote>
  <w:footnote w:type="continuationSeparator" w:id="0">
    <w:p w14:paraId="5831E9B0" w14:textId="77777777" w:rsidR="001D623A" w:rsidRDefault="001D623A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9E96" w14:textId="77777777" w:rsidR="001D623A" w:rsidRPr="00D41DA4" w:rsidRDefault="001D623A">
    <w:pPr>
      <w:pStyle w:val="Header"/>
      <w:rPr>
        <w:sz w:val="20"/>
        <w:szCs w:val="20"/>
      </w:rPr>
    </w:pPr>
    <w:r w:rsidRPr="00D41DA4">
      <w:rPr>
        <w:sz w:val="20"/>
        <w:szCs w:val="20"/>
      </w:rPr>
      <w:t xml:space="preserve">Department of Cellular Pathology </w:t>
    </w:r>
    <w:r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Pr="00D41DA4">
      <w:rPr>
        <w:sz w:val="20"/>
        <w:szCs w:val="20"/>
      </w:rPr>
      <w:tab/>
      <w:t>Leeds Teaching Hospitals NHS Trust</w:t>
    </w:r>
  </w:p>
  <w:p w14:paraId="6B26A1FA" w14:textId="77777777" w:rsidR="001D623A" w:rsidRDefault="001D6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4"/>
    <w:rsid w:val="00065135"/>
    <w:rsid w:val="00073C51"/>
    <w:rsid w:val="000E4117"/>
    <w:rsid w:val="001D623A"/>
    <w:rsid w:val="0025725F"/>
    <w:rsid w:val="004900D5"/>
    <w:rsid w:val="00523918"/>
    <w:rsid w:val="006004E5"/>
    <w:rsid w:val="00617279"/>
    <w:rsid w:val="00622C51"/>
    <w:rsid w:val="006B3838"/>
    <w:rsid w:val="0070560C"/>
    <w:rsid w:val="00741FFA"/>
    <w:rsid w:val="00824959"/>
    <w:rsid w:val="00955CE3"/>
    <w:rsid w:val="009A2EF4"/>
    <w:rsid w:val="009D3E38"/>
    <w:rsid w:val="00A23FCD"/>
    <w:rsid w:val="00A9559C"/>
    <w:rsid w:val="00AD632A"/>
    <w:rsid w:val="00AF70AE"/>
    <w:rsid w:val="00B749F3"/>
    <w:rsid w:val="00BC6A2B"/>
    <w:rsid w:val="00CA7CF5"/>
    <w:rsid w:val="00D41DA4"/>
    <w:rsid w:val="00DF5A90"/>
    <w:rsid w:val="00E200AA"/>
    <w:rsid w:val="00F0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25B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4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4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th-tr.HistopathSpecimenReception@nhs.net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A7E0-380B-4977-8F9E-3001CD04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</dc:creator>
  <cp:lastModifiedBy>Wendy Boote</cp:lastModifiedBy>
  <cp:revision>2</cp:revision>
  <cp:lastPrinted>2019-05-20T14:43:00Z</cp:lastPrinted>
  <dcterms:created xsi:type="dcterms:W3CDTF">2023-10-23T13:56:00Z</dcterms:created>
  <dcterms:modified xsi:type="dcterms:W3CDTF">2023-10-23T13:56:00Z</dcterms:modified>
</cp:coreProperties>
</file>